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6FF56">
      <w:pPr>
        <w:widowControl/>
        <w:spacing w:line="600" w:lineRule="exact"/>
        <w:jc w:val="center"/>
        <w:rPr>
          <w:rFonts w:hint="eastAsia" w:ascii="思源黑体" w:hAnsi="思源黑体" w:eastAsia="思源黑体" w:cs="思源黑体"/>
          <w:color w:val="000000"/>
          <w:spacing w:val="10"/>
          <w:kern w:val="0"/>
          <w:sz w:val="44"/>
          <w:szCs w:val="44"/>
        </w:rPr>
      </w:pPr>
      <w:bookmarkStart w:id="1" w:name="_GoBack"/>
      <w:r>
        <w:rPr>
          <w:rFonts w:hint="eastAsia" w:ascii="思源黑体" w:hAnsi="思源黑体" w:eastAsia="思源黑体" w:cs="思源黑体"/>
          <w:color w:val="000000"/>
          <w:spacing w:val="10"/>
          <w:kern w:val="0"/>
          <w:sz w:val="44"/>
          <w:szCs w:val="44"/>
          <w:lang w:eastAsia="zh-CN"/>
        </w:rPr>
        <w:t>2025</w:t>
      </w:r>
      <w:r>
        <w:rPr>
          <w:rFonts w:hint="eastAsia" w:ascii="思源黑体" w:hAnsi="思源黑体" w:eastAsia="思源黑体" w:cs="思源黑体"/>
          <w:color w:val="000000"/>
          <w:spacing w:val="10"/>
          <w:kern w:val="0"/>
          <w:sz w:val="44"/>
          <w:szCs w:val="44"/>
        </w:rPr>
        <w:t>年安全</w:t>
      </w:r>
      <w:r>
        <w:rPr>
          <w:rFonts w:hint="eastAsia" w:ascii="思源黑体" w:hAnsi="思源黑体" w:eastAsia="思源黑体" w:cs="思源黑体"/>
          <w:color w:val="000000"/>
          <w:spacing w:val="10"/>
          <w:kern w:val="0"/>
          <w:sz w:val="44"/>
          <w:szCs w:val="44"/>
          <w:lang w:val="en-US" w:eastAsia="zh-CN"/>
        </w:rPr>
        <w:t>环保</w:t>
      </w:r>
      <w:r>
        <w:rPr>
          <w:rFonts w:hint="eastAsia" w:ascii="思源黑体" w:hAnsi="思源黑体" w:eastAsia="思源黑体" w:cs="思源黑体"/>
          <w:color w:val="000000"/>
          <w:spacing w:val="10"/>
          <w:kern w:val="0"/>
          <w:sz w:val="44"/>
          <w:szCs w:val="44"/>
        </w:rPr>
        <w:t>工作方针</w:t>
      </w:r>
    </w:p>
    <w:p w14:paraId="69C90A4C">
      <w:pPr>
        <w:widowControl/>
        <w:spacing w:line="600" w:lineRule="exact"/>
        <w:ind w:firstLine="666" w:firstLineChars="196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</w:pPr>
    </w:p>
    <w:p w14:paraId="36F43242">
      <w:pPr>
        <w:spacing w:line="600" w:lineRule="exact"/>
        <w:ind w:firstLine="720"/>
        <w:outlineLvl w:val="0"/>
        <w:rPr>
          <w:rFonts w:hint="eastAsia" w:ascii="思源黑体" w:hAnsi="思源黑体" w:eastAsia="思源黑体" w:cs="思源黑体"/>
          <w:color w:val="000000"/>
          <w:sz w:val="32"/>
          <w:szCs w:val="32"/>
        </w:rPr>
      </w:pPr>
      <w:r>
        <w:rPr>
          <w:rFonts w:hint="eastAsia" w:ascii="思源黑体" w:hAnsi="思源黑体" w:eastAsia="思源黑体" w:cs="思源黑体"/>
          <w:color w:val="000000"/>
          <w:sz w:val="32"/>
          <w:szCs w:val="32"/>
        </w:rPr>
        <w:t>一、宜宾锂宝安全生产方针</w:t>
      </w:r>
    </w:p>
    <w:p w14:paraId="5E68A2D2">
      <w:pPr>
        <w:widowControl/>
        <w:spacing w:line="600" w:lineRule="exact"/>
        <w:ind w:firstLine="666" w:firstLineChars="196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坚持“安全第一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、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预防为主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、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综合治理</w:t>
      </w:r>
      <w:bookmarkStart w:id="0" w:name="OLE_LINK1"/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、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全员参与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、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健康管理、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持续改进</w:t>
      </w:r>
      <w:bookmarkEnd w:id="0"/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”的总体方针，坚持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“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以人为本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、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安全发展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”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 xml:space="preserve">理念，强化和落实主体责任，以隐患排查治理为基础，提高安全生产水平，充分发挥全体员工安全生产的积极性，切实做好安全生产各项工作，杜绝各种安全事故的发生，为公司的有序运营提供可靠的安全保证。 </w:t>
      </w:r>
    </w:p>
    <w:p w14:paraId="6B56385B">
      <w:pPr>
        <w:widowControl/>
        <w:spacing w:line="600" w:lineRule="exact"/>
        <w:ind w:firstLine="680" w:firstLineChars="200"/>
        <w:jc w:val="left"/>
        <w:rPr>
          <w:rFonts w:hint="eastAsia" w:ascii="思源黑体" w:hAnsi="思源黑体" w:eastAsia="思源黑体" w:cs="思源黑体"/>
          <w:color w:val="000000"/>
          <w:spacing w:val="10"/>
          <w:kern w:val="0"/>
          <w:sz w:val="32"/>
          <w:szCs w:val="32"/>
        </w:rPr>
      </w:pPr>
      <w:r>
        <w:rPr>
          <w:rFonts w:hint="eastAsia" w:ascii="思源黑体" w:hAnsi="思源黑体" w:eastAsia="思源黑体" w:cs="思源黑体"/>
          <w:color w:val="000000"/>
          <w:spacing w:val="10"/>
          <w:kern w:val="0"/>
          <w:sz w:val="32"/>
          <w:szCs w:val="32"/>
        </w:rPr>
        <w:t>（一）安全第一，预防为主</w:t>
      </w:r>
    </w:p>
    <w:p w14:paraId="46740416">
      <w:pPr>
        <w:widowControl/>
        <w:spacing w:line="600" w:lineRule="exact"/>
        <w:ind w:firstLine="666" w:firstLineChars="196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1．在生产经营活动中，在处理保证安全与生产经营活动的关系上，要始终把安全放在首要位置，优先考虑员工的人身安全，实行“安全优先”的原则，在确保安全的前提下努力实现运输安全的其他目标。</w:t>
      </w:r>
    </w:p>
    <w:p w14:paraId="0C4483DE">
      <w:pPr>
        <w:widowControl/>
        <w:spacing w:line="600" w:lineRule="exact"/>
        <w:ind w:firstLine="666" w:firstLineChars="196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2．安全生产的管理，不是在事故发生后去组织抢救，进行事故调查、处理和分析，而是按照系统化、科学化的管理思想，按照事故发生的规律和特点，千方百计预防事故的发生，做到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防患于未然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，将事故消灭在萌芽状态。</w:t>
      </w:r>
    </w:p>
    <w:p w14:paraId="1BBD6E4A">
      <w:pPr>
        <w:widowControl/>
        <w:spacing w:line="600" w:lineRule="exact"/>
        <w:ind w:firstLine="680" w:firstLineChars="200"/>
        <w:jc w:val="left"/>
        <w:rPr>
          <w:rFonts w:hint="eastAsia" w:ascii="思源黑体" w:hAnsi="思源黑体" w:eastAsia="思源黑体" w:cs="思源黑体"/>
          <w:color w:val="000000"/>
          <w:spacing w:val="10"/>
          <w:kern w:val="0"/>
          <w:sz w:val="32"/>
          <w:szCs w:val="32"/>
        </w:rPr>
      </w:pPr>
      <w:r>
        <w:rPr>
          <w:rFonts w:hint="eastAsia" w:ascii="思源黑体" w:hAnsi="思源黑体" w:eastAsia="思源黑体" w:cs="思源黑体"/>
          <w:color w:val="000000"/>
          <w:spacing w:val="10"/>
          <w:kern w:val="0"/>
          <w:sz w:val="32"/>
          <w:szCs w:val="32"/>
        </w:rPr>
        <w:t>（二）综合治理</w:t>
      </w:r>
    </w:p>
    <w:p w14:paraId="50FEBA1A">
      <w:pPr>
        <w:widowControl/>
        <w:spacing w:line="600" w:lineRule="exact"/>
        <w:ind w:firstLine="666" w:firstLineChars="196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1．人是生产力中最重要、最活跃的因素，实现安全管理体系的持续改进，必须发扬、调动人的积极主动性。</w:t>
      </w:r>
    </w:p>
    <w:p w14:paraId="7E1109CA">
      <w:pPr>
        <w:widowControl/>
        <w:spacing w:line="600" w:lineRule="exact"/>
        <w:ind w:firstLine="666" w:firstLineChars="196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2．安全管理体系的方针、目标、要求及重要性必须传达到每一位员工。</w:t>
      </w:r>
    </w:p>
    <w:p w14:paraId="5F309B0F">
      <w:pPr>
        <w:widowControl/>
        <w:spacing w:line="600" w:lineRule="exact"/>
        <w:ind w:firstLine="666" w:firstLineChars="196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3．综合治理是指适应我公司安全生产形势的要求，自觉遵循安全生产规律，正视安全生产工作的长期性、艰巨性和复杂性，抓住安全生产工作中的主要矛盾和关键环节，综合运用经济、制度、行政等手段，人管、法治、技防多管齐下，并充分发挥社会、员工、舆论的监督作用，有效解决安全生产过程中的问题。实施综合治理，实现安全生产，须从文化、制度、科技、责任、投入入手，多管齐下，综合施治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。</w:t>
      </w:r>
    </w:p>
    <w:p w14:paraId="3501F2E7">
      <w:pPr>
        <w:widowControl/>
        <w:spacing w:line="600" w:lineRule="exact"/>
        <w:ind w:firstLine="680" w:firstLineChars="200"/>
        <w:jc w:val="left"/>
        <w:rPr>
          <w:rFonts w:hint="eastAsia" w:ascii="思源黑体" w:hAnsi="思源黑体" w:eastAsia="思源黑体" w:cs="思源黑体"/>
          <w:color w:val="000000"/>
          <w:spacing w:val="10"/>
          <w:kern w:val="0"/>
          <w:sz w:val="32"/>
          <w:szCs w:val="32"/>
        </w:rPr>
      </w:pPr>
      <w:r>
        <w:rPr>
          <w:rFonts w:hint="eastAsia" w:ascii="思源黑体" w:hAnsi="思源黑体" w:eastAsia="思源黑体" w:cs="思源黑体"/>
          <w:color w:val="000000"/>
          <w:spacing w:val="10"/>
          <w:kern w:val="0"/>
          <w:sz w:val="32"/>
          <w:szCs w:val="32"/>
        </w:rPr>
        <w:t>（三）全员参与</w:t>
      </w:r>
    </w:p>
    <w:p w14:paraId="32168C10">
      <w:pPr>
        <w:widowControl/>
        <w:spacing w:line="600" w:lineRule="exact"/>
        <w:ind w:firstLine="666" w:firstLineChars="196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各级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员工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是公司组织之本，只有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确保全员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参与，才能使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员工技能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才干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得到充分发挥，推动公司可持续发展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。公司安全目标是通过各级人员参与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安全管理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过程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中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实现的，安全标准化体系运行的有效性取决于各层次人员的安全意识、工作能力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、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工作积极性。</w:t>
      </w:r>
    </w:p>
    <w:p w14:paraId="6DCF0A77">
      <w:pPr>
        <w:widowControl/>
        <w:spacing w:line="600" w:lineRule="exact"/>
        <w:ind w:firstLine="680" w:firstLineChars="200"/>
        <w:jc w:val="left"/>
        <w:rPr>
          <w:rFonts w:hint="eastAsia" w:ascii="思源黑体" w:hAnsi="思源黑体" w:eastAsia="思源黑体" w:cs="思源黑体"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color w:val="000000"/>
          <w:spacing w:val="10"/>
          <w:kern w:val="0"/>
          <w:sz w:val="32"/>
          <w:szCs w:val="32"/>
          <w:lang w:val="en-US" w:eastAsia="zh-CN"/>
        </w:rPr>
        <w:t>（四）健康管理</w:t>
      </w:r>
    </w:p>
    <w:p w14:paraId="10BF0464">
      <w:pPr>
        <w:widowControl/>
        <w:numPr>
          <w:ilvl w:val="0"/>
          <w:numId w:val="0"/>
        </w:numPr>
        <w:spacing w:line="600" w:lineRule="exact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公司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秉承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“以人为本、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生命至上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”“健康企业、幸福员工、快乐生活”的管理理念，坚持“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大卫生、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大健康”发展方向，认真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落实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职业病防治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主体责任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，积极投入“健康企业”建设，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全方位、全周期保障劳动者身心健康，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全力打造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良好的健康企业文化。</w:t>
      </w:r>
    </w:p>
    <w:p w14:paraId="485AF511">
      <w:pPr>
        <w:widowControl/>
        <w:spacing w:line="600" w:lineRule="exact"/>
        <w:ind w:firstLine="680" w:firstLineChars="200"/>
        <w:jc w:val="left"/>
        <w:rPr>
          <w:rFonts w:hint="eastAsia" w:ascii="思源黑体" w:hAnsi="思源黑体" w:eastAsia="思源黑体" w:cs="思源黑体"/>
          <w:color w:val="000000"/>
          <w:spacing w:val="10"/>
          <w:kern w:val="0"/>
          <w:sz w:val="32"/>
          <w:szCs w:val="32"/>
        </w:rPr>
      </w:pPr>
      <w:r>
        <w:rPr>
          <w:rFonts w:hint="eastAsia" w:ascii="思源黑体" w:hAnsi="思源黑体" w:eastAsia="思源黑体" w:cs="思源黑体"/>
          <w:color w:val="000000"/>
          <w:spacing w:val="10"/>
          <w:kern w:val="0"/>
          <w:sz w:val="32"/>
          <w:szCs w:val="32"/>
        </w:rPr>
        <w:t>（</w:t>
      </w:r>
      <w:r>
        <w:rPr>
          <w:rFonts w:hint="eastAsia" w:ascii="思源黑体" w:hAnsi="思源黑体" w:eastAsia="思源黑体" w:cs="思源黑体"/>
          <w:color w:val="000000"/>
          <w:spacing w:val="10"/>
          <w:kern w:val="0"/>
          <w:sz w:val="32"/>
          <w:szCs w:val="32"/>
          <w:lang w:val="en-US" w:eastAsia="zh-CN"/>
        </w:rPr>
        <w:t>五</w:t>
      </w:r>
      <w:r>
        <w:rPr>
          <w:rFonts w:hint="eastAsia" w:ascii="思源黑体" w:hAnsi="思源黑体" w:eastAsia="思源黑体" w:cs="思源黑体"/>
          <w:color w:val="000000"/>
          <w:spacing w:val="10"/>
          <w:kern w:val="0"/>
          <w:sz w:val="32"/>
          <w:szCs w:val="32"/>
        </w:rPr>
        <w:t>）持续改进</w:t>
      </w:r>
    </w:p>
    <w:p w14:paraId="6644DB23">
      <w:pPr>
        <w:widowControl/>
        <w:spacing w:line="600" w:lineRule="exact"/>
        <w:ind w:firstLine="666" w:firstLineChars="196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对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职业健康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安全目标与指标、规章制度、操作规程等进行修改完善，不断发现问题、不断纠正缺陷、不断自我完善、不断提高，使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公司职业健康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安全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稳步向好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。</w:t>
      </w:r>
    </w:p>
    <w:p w14:paraId="624EF4AC">
      <w:pPr>
        <w:spacing w:line="600" w:lineRule="exact"/>
        <w:ind w:firstLine="640" w:firstLineChars="200"/>
        <w:outlineLvl w:val="0"/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color w:val="000000"/>
          <w:sz w:val="32"/>
          <w:szCs w:val="32"/>
        </w:rPr>
        <w:t>二、</w:t>
      </w:r>
      <w:r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  <w:t>宜宾锂宝环境方针</w:t>
      </w:r>
    </w:p>
    <w:p w14:paraId="0D76E3C6">
      <w:pPr>
        <w:widowControl/>
        <w:spacing w:line="600" w:lineRule="exact"/>
        <w:ind w:firstLine="666" w:firstLineChars="196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遵循法律、预防污染、循环经济、绿色低碳、全员参与、持续发展。</w:t>
      </w:r>
    </w:p>
    <w:p w14:paraId="63933A2D">
      <w:pPr>
        <w:widowControl/>
        <w:numPr>
          <w:ilvl w:val="0"/>
          <w:numId w:val="0"/>
        </w:numPr>
        <w:spacing w:line="600" w:lineRule="exact"/>
        <w:ind w:firstLine="666" w:firstLineChars="196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遵循法律</w:t>
      </w:r>
    </w:p>
    <w:p w14:paraId="7771410B">
      <w:pPr>
        <w:widowControl/>
        <w:numPr>
          <w:ilvl w:val="0"/>
          <w:numId w:val="0"/>
        </w:numPr>
        <w:spacing w:line="600" w:lineRule="exact"/>
        <w:ind w:firstLine="680" w:firstLineChars="200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严格遵守法律、法规及其他要求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。</w:t>
      </w:r>
    </w:p>
    <w:p w14:paraId="24EFAC45">
      <w:pPr>
        <w:widowControl/>
        <w:numPr>
          <w:ilvl w:val="0"/>
          <w:numId w:val="0"/>
        </w:numPr>
        <w:spacing w:line="600" w:lineRule="exact"/>
        <w:ind w:firstLine="666" w:firstLineChars="196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（二）预防污染</w:t>
      </w:r>
    </w:p>
    <w:p w14:paraId="7BE92536">
      <w:pPr>
        <w:widowControl/>
        <w:numPr>
          <w:ilvl w:val="0"/>
          <w:numId w:val="0"/>
        </w:numPr>
        <w:spacing w:line="600" w:lineRule="exact"/>
        <w:ind w:firstLine="680" w:firstLineChars="200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合理利用资源、技术，从源头削减污染物排放；实现有效治理技术，减少污染。</w:t>
      </w:r>
    </w:p>
    <w:p w14:paraId="202C5AE9">
      <w:pPr>
        <w:widowControl/>
        <w:numPr>
          <w:ilvl w:val="0"/>
          <w:numId w:val="0"/>
        </w:numPr>
        <w:spacing w:line="600" w:lineRule="exact"/>
        <w:ind w:firstLine="666" w:firstLineChars="196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（三）循环经济</w:t>
      </w:r>
    </w:p>
    <w:p w14:paraId="1A3C5B5D">
      <w:pPr>
        <w:widowControl/>
        <w:numPr>
          <w:ilvl w:val="0"/>
          <w:numId w:val="0"/>
        </w:numPr>
        <w:spacing w:line="600" w:lineRule="exact"/>
        <w:ind w:firstLine="680" w:firstLineChars="200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合理规划循环材料使用。</w:t>
      </w:r>
    </w:p>
    <w:p w14:paraId="6664BAA3">
      <w:pPr>
        <w:widowControl/>
        <w:numPr>
          <w:ilvl w:val="0"/>
          <w:numId w:val="0"/>
        </w:numPr>
        <w:spacing w:line="600" w:lineRule="exact"/>
        <w:ind w:firstLine="666" w:firstLineChars="196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（四）绿色低碳</w:t>
      </w:r>
    </w:p>
    <w:p w14:paraId="32044468">
      <w:pPr>
        <w:widowControl/>
        <w:numPr>
          <w:ilvl w:val="0"/>
          <w:numId w:val="0"/>
        </w:numPr>
        <w:spacing w:line="600" w:lineRule="exact"/>
        <w:ind w:firstLine="680" w:firstLineChars="200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用绿色能源、绿色资源、绿色科技，积极推动碳达峰、碳中和，全力落实降碳减碳目标，贯彻绿色发展理念、低碳行为、打造“零”碳产业链。</w:t>
      </w:r>
    </w:p>
    <w:p w14:paraId="78B7CAF2">
      <w:pPr>
        <w:widowControl/>
        <w:numPr>
          <w:ilvl w:val="0"/>
          <w:numId w:val="0"/>
        </w:numPr>
        <w:spacing w:line="600" w:lineRule="exact"/>
        <w:ind w:firstLine="666" w:firstLineChars="196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（五）全员参与</w:t>
      </w:r>
    </w:p>
    <w:p w14:paraId="53148308">
      <w:pPr>
        <w:widowControl/>
        <w:numPr>
          <w:ilvl w:val="0"/>
          <w:numId w:val="0"/>
        </w:numPr>
        <w:spacing w:line="600" w:lineRule="exact"/>
        <w:ind w:firstLine="680" w:firstLineChars="200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分解目标，共享责任、行动一致共同参与。</w:t>
      </w:r>
    </w:p>
    <w:p w14:paraId="2AB00EF3">
      <w:pPr>
        <w:widowControl/>
        <w:numPr>
          <w:ilvl w:val="0"/>
          <w:numId w:val="0"/>
        </w:numPr>
        <w:spacing w:line="600" w:lineRule="exact"/>
        <w:ind w:firstLine="666" w:firstLineChars="196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（六）持续发展</w:t>
      </w:r>
    </w:p>
    <w:p w14:paraId="11BB1C8E">
      <w:pPr>
        <w:widowControl/>
        <w:numPr>
          <w:ilvl w:val="0"/>
          <w:numId w:val="0"/>
        </w:numPr>
        <w:spacing w:line="600" w:lineRule="exact"/>
        <w:ind w:firstLine="680" w:firstLineChars="200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不断提高全员环境保护、节能降碳意识，共同参与，通过资源投入、管理创新、技术应用达到持续改善。</w:t>
      </w:r>
    </w:p>
    <w:p w14:paraId="284F6B3F">
      <w:pPr>
        <w:spacing w:line="600" w:lineRule="exact"/>
        <w:ind w:firstLine="640" w:firstLineChars="200"/>
        <w:outlineLvl w:val="0"/>
        <w:rPr>
          <w:rFonts w:hint="eastAsia" w:ascii="思源黑体" w:hAnsi="思源黑体" w:eastAsia="思源黑体" w:cs="思源黑体"/>
          <w:color w:val="000000"/>
          <w:sz w:val="32"/>
          <w:szCs w:val="32"/>
        </w:rPr>
      </w:pPr>
      <w:r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思源黑体" w:hAnsi="思源黑体" w:eastAsia="思源黑体" w:cs="思源黑体"/>
          <w:color w:val="000000"/>
          <w:sz w:val="32"/>
          <w:szCs w:val="32"/>
        </w:rPr>
        <w:t>安全目标</w:t>
      </w:r>
    </w:p>
    <w:p w14:paraId="51C56643">
      <w:pPr>
        <w:widowControl/>
        <w:numPr>
          <w:ilvl w:val="0"/>
          <w:numId w:val="0"/>
        </w:numPr>
        <w:spacing w:line="600" w:lineRule="exact"/>
        <w:ind w:firstLine="680" w:firstLineChars="200"/>
        <w:jc w:val="left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</w:pP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宜宾锂宝杜绝各类事故，不损坏人身健康，不破坏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生态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环境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，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严格按安全标准化开展工作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。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遵循以人为本的原则，加强员工培训，努力提高员工队伍的安全素质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eastAsia="zh-CN"/>
        </w:rPr>
        <w:t>。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在202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5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年内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完成企业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安全生产标准化二级达标和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保持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一级标准化班组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  <w:t>有效运行</w:t>
      </w:r>
      <w:r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</w:rPr>
        <w:t>。</w:t>
      </w:r>
    </w:p>
    <w:p w14:paraId="26DEF37B">
      <w:pPr>
        <w:numPr>
          <w:ilvl w:val="0"/>
          <w:numId w:val="0"/>
        </w:numPr>
        <w:ind w:firstLine="640" w:firstLineChars="200"/>
        <w:jc w:val="both"/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  <w:t>环保目标</w:t>
      </w:r>
    </w:p>
    <w:p w14:paraId="2F1C3500">
      <w:pPr>
        <w:numPr>
          <w:ilvl w:val="0"/>
          <w:numId w:val="0"/>
        </w:numPr>
        <w:ind w:firstLine="640" w:firstLineChars="200"/>
        <w:jc w:val="both"/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  <w:t>（一）基础管理目标</w:t>
      </w:r>
    </w:p>
    <w:p w14:paraId="6AF86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污染物零超标排放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。</w:t>
      </w:r>
    </w:p>
    <w:p w14:paraId="6DACD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零环境污染事故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。</w:t>
      </w:r>
    </w:p>
    <w:p w14:paraId="74622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零环境投诉属实事件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。</w:t>
      </w:r>
    </w:p>
    <w:p w14:paraId="3DA39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零环境行政处罚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。</w:t>
      </w:r>
    </w:p>
    <w:p w14:paraId="6DB90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危险废物100%合规处置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。</w:t>
      </w:r>
    </w:p>
    <w:p w14:paraId="126ED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建设项目100%环保合规。</w:t>
      </w:r>
    </w:p>
    <w:p w14:paraId="61B78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环境管理体系、ESG审核无严重不符合项。</w:t>
      </w:r>
    </w:p>
    <w:p w14:paraId="48EB78C4">
      <w:pPr>
        <w:ind w:firstLine="640" w:firstLineChars="200"/>
        <w:jc w:val="both"/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  <w:t>（二）可持续发展目标</w:t>
      </w:r>
    </w:p>
    <w:p w14:paraId="64980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生产废水100%回用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。</w:t>
      </w:r>
    </w:p>
    <w:p w14:paraId="214C5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循环材料和可回收固体废物100%再利用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。</w:t>
      </w:r>
    </w:p>
    <w:p w14:paraId="4F79D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吨产品气体污染物排放量较2024年减少1%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。</w:t>
      </w:r>
    </w:p>
    <w:p w14:paraId="04381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危险废物减量化：</w:t>
      </w:r>
    </w:p>
    <w:p w14:paraId="7E299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（1）废铝箔袋吨原料产生量降低至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2.45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kg/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t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以下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。</w:t>
      </w:r>
    </w:p>
    <w:p w14:paraId="556CE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（2）检测废液吨产品产生量降低至0.2kg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/t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以下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。</w:t>
      </w:r>
    </w:p>
    <w:p w14:paraId="0FD56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（3）水处理污泥（NCM泥饼）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单位废水产生量降低至2.5kg/m³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以下。</w:t>
      </w:r>
    </w:p>
    <w:p w14:paraId="7E416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．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温室气体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减排目标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2337"/>
        <w:gridCol w:w="1411"/>
        <w:gridCol w:w="1578"/>
      </w:tblGrid>
      <w:tr w14:paraId="49376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6" w:type="dxa"/>
            <w:vAlign w:val="center"/>
          </w:tcPr>
          <w:p w14:paraId="4A37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  <w:t>能源绩效参数</w:t>
            </w:r>
          </w:p>
        </w:tc>
        <w:tc>
          <w:tcPr>
            <w:tcW w:w="2687" w:type="dxa"/>
            <w:vAlign w:val="center"/>
          </w:tcPr>
          <w:p w14:paraId="51878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  <w:t>责任部门</w:t>
            </w:r>
          </w:p>
        </w:tc>
        <w:tc>
          <w:tcPr>
            <w:tcW w:w="1488" w:type="dxa"/>
            <w:vAlign w:val="center"/>
          </w:tcPr>
          <w:p w14:paraId="6378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  <w:t>基准值</w:t>
            </w:r>
          </w:p>
        </w:tc>
        <w:tc>
          <w:tcPr>
            <w:tcW w:w="1687" w:type="dxa"/>
            <w:vAlign w:val="center"/>
          </w:tcPr>
          <w:p w14:paraId="4E78E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  <w:t>目标值</w:t>
            </w:r>
          </w:p>
        </w:tc>
      </w:tr>
      <w:tr w14:paraId="1344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6" w:type="dxa"/>
            <w:vAlign w:val="center"/>
          </w:tcPr>
          <w:p w14:paraId="2BE16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  <w:t>单位产品制造过程温室气体排放（tCO2e/t）</w:t>
            </w:r>
          </w:p>
        </w:tc>
        <w:tc>
          <w:tcPr>
            <w:tcW w:w="2687" w:type="dxa"/>
            <w:vAlign w:val="center"/>
          </w:tcPr>
          <w:p w14:paraId="623D0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  <w:t>安全环保能源部</w:t>
            </w:r>
          </w:p>
        </w:tc>
        <w:tc>
          <w:tcPr>
            <w:tcW w:w="1488" w:type="dxa"/>
            <w:vAlign w:val="center"/>
          </w:tcPr>
          <w:p w14:paraId="060D6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  <w:t>0.</w:t>
            </w:r>
            <w:r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  <w:t>478</w:t>
            </w:r>
          </w:p>
        </w:tc>
        <w:tc>
          <w:tcPr>
            <w:tcW w:w="1687" w:type="dxa"/>
            <w:vAlign w:val="center"/>
          </w:tcPr>
          <w:p w14:paraId="7A22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  <w:t>307</w:t>
            </w:r>
          </w:p>
        </w:tc>
      </w:tr>
      <w:tr w14:paraId="7B98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6" w:type="dxa"/>
            <w:vAlign w:val="center"/>
          </w:tcPr>
          <w:p w14:paraId="39D89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  <w:t>单位产品温室气体排放量（tCO2e/t）</w:t>
            </w:r>
          </w:p>
        </w:tc>
        <w:tc>
          <w:tcPr>
            <w:tcW w:w="2687" w:type="dxa"/>
            <w:vAlign w:val="center"/>
          </w:tcPr>
          <w:p w14:paraId="25F9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  <w:t>安全环保能源部</w:t>
            </w:r>
          </w:p>
        </w:tc>
        <w:tc>
          <w:tcPr>
            <w:tcW w:w="1488" w:type="dxa"/>
            <w:vAlign w:val="center"/>
          </w:tcPr>
          <w:p w14:paraId="4991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  <w:t>24.53</w:t>
            </w:r>
          </w:p>
        </w:tc>
        <w:tc>
          <w:tcPr>
            <w:tcW w:w="1687" w:type="dxa"/>
            <w:vAlign w:val="center"/>
          </w:tcPr>
          <w:p w14:paraId="0F83D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sz w:val="32"/>
                <w:szCs w:val="32"/>
                <w:lang w:val="en-US" w:eastAsia="zh-CN"/>
              </w:rPr>
              <w:t>14.21</w:t>
            </w:r>
          </w:p>
        </w:tc>
      </w:tr>
    </w:tbl>
    <w:p w14:paraId="16F23602">
      <w:pPr>
        <w:ind w:firstLine="640" w:firstLineChars="200"/>
        <w:jc w:val="both"/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  <w:t>（三）绿色创建目标</w:t>
      </w:r>
    </w:p>
    <w:p w14:paraId="1EE8B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推进环境信用体系建设。积极参与2024年度市级企业环境信用评价并取得市级“环保诚信企业”环境信用等级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。</w:t>
      </w:r>
    </w:p>
    <w:p w14:paraId="3037FB59">
      <w:pPr>
        <w:spacing w:line="600" w:lineRule="exact"/>
        <w:ind w:firstLine="640" w:firstLineChars="200"/>
        <w:outlineLvl w:val="0"/>
        <w:rPr>
          <w:rFonts w:hint="eastAsia" w:ascii="思源黑体" w:hAnsi="思源黑体" w:eastAsia="思源黑体" w:cs="思源黑体"/>
          <w:bCs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思源黑体" w:hAnsi="思源黑体" w:eastAsia="思源黑体" w:cs="思源黑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思源黑体" w:hAnsi="思源黑体" w:eastAsia="思源黑体" w:cs="思源黑体"/>
          <w:color w:val="auto"/>
          <w:sz w:val="32"/>
          <w:szCs w:val="32"/>
          <w:lang w:val="en-US" w:eastAsia="zh-CN"/>
        </w:rPr>
        <w:t>持续推进节能减排工作。积极参与2025年重污染天气应急减排绩效评级并取得“A级企业”评级结果。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7C456"/>
    <w:multiLevelType w:val="singleLevel"/>
    <w:tmpl w:val="6407C456"/>
    <w:lvl w:ilvl="0" w:tentative="0">
      <w:start w:val="1"/>
      <w:numFmt w:val="chineseCounting"/>
      <w:pStyle w:val="5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F273D"/>
    <w:rsid w:val="027B662D"/>
    <w:rsid w:val="1326458A"/>
    <w:rsid w:val="21AE7195"/>
    <w:rsid w:val="29896525"/>
    <w:rsid w:val="317814F4"/>
    <w:rsid w:val="398F273D"/>
    <w:rsid w:val="3CA46C30"/>
    <w:rsid w:val="45595222"/>
    <w:rsid w:val="46A877CB"/>
    <w:rsid w:val="53710D3F"/>
    <w:rsid w:val="646B6FB1"/>
    <w:rsid w:val="724F01C4"/>
    <w:rsid w:val="7A36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Lines="0" w:afterLines="0" w:line="600" w:lineRule="exact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3">
    <w:name w:val="heading 2"/>
    <w:basedOn w:val="1"/>
    <w:link w:val="12"/>
    <w:semiHidden/>
    <w:unhideWhenUsed/>
    <w:qFormat/>
    <w:uiPriority w:val="0"/>
    <w:pPr>
      <w:keepNext/>
      <w:keepLines/>
      <w:spacing w:beforeLines="0" w:afterLines="0" w:line="600" w:lineRule="exact"/>
      <w:ind w:firstLine="640" w:firstLineChars="200"/>
      <w:outlineLvl w:val="1"/>
    </w:pPr>
    <w:rPr>
      <w:rFonts w:ascii="Cambria" w:hAnsi="Cambria" w:eastAsia="黑体" w:cs="Times New Roman"/>
      <w:bCs/>
      <w:sz w:val="32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2"/>
    </w:pPr>
    <w:rPr>
      <w:rFonts w:ascii="Times New Roman" w:hAnsi="Times New Roman" w:eastAsia="楷体"/>
      <w:b/>
      <w:sz w:val="3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link w:val="9"/>
    <w:qFormat/>
    <w:uiPriority w:val="0"/>
    <w:pPr>
      <w:numPr>
        <w:ilvl w:val="0"/>
        <w:numId w:val="1"/>
      </w:numPr>
      <w:spacing w:before="240" w:after="60"/>
      <w:ind w:firstLine="0"/>
      <w:jc w:val="center"/>
      <w:outlineLvl w:val="0"/>
    </w:pPr>
    <w:rPr>
      <w:rFonts w:eastAsia="黑体" w:asciiTheme="majorAscii" w:hAnsiTheme="majorAscii" w:cstheme="majorBidi"/>
      <w:bCs/>
      <w:sz w:val="44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qFormat/>
    <w:uiPriority w:val="10"/>
    <w:rPr>
      <w:rFonts w:eastAsia="黑体" w:asciiTheme="majorAscii" w:hAnsiTheme="majorAscii" w:cstheme="majorBidi"/>
      <w:bCs/>
      <w:sz w:val="44"/>
      <w:szCs w:val="32"/>
    </w:rPr>
  </w:style>
  <w:style w:type="character" w:customStyle="1" w:styleId="10">
    <w:name w:val="标题 3 Char"/>
    <w:link w:val="4"/>
    <w:qFormat/>
    <w:uiPriority w:val="0"/>
    <w:rPr>
      <w:rFonts w:ascii="Times New Roman" w:hAnsi="Times New Roman" w:eastAsia="楷体"/>
      <w:b/>
      <w:sz w:val="32"/>
      <w:szCs w:val="22"/>
    </w:rPr>
  </w:style>
  <w:style w:type="character" w:customStyle="1" w:styleId="11">
    <w:name w:val="标题 1 字符"/>
    <w:link w:val="2"/>
    <w:qFormat/>
    <w:uiPriority w:val="9"/>
    <w:rPr>
      <w:rFonts w:ascii="Times New Roman" w:hAnsi="Times New Roman" w:eastAsia="方正小标宋_GBK"/>
      <w:kern w:val="44"/>
      <w:sz w:val="44"/>
      <w:szCs w:val="44"/>
    </w:rPr>
  </w:style>
  <w:style w:type="character" w:customStyle="1" w:styleId="12">
    <w:name w:val="标题 2 字符"/>
    <w:link w:val="3"/>
    <w:qFormat/>
    <w:uiPriority w:val="0"/>
    <w:rPr>
      <w:rFonts w:ascii="Cambria" w:hAnsi="Cambria" w:eastAsia="黑体" w:cs="Times New Roman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1747</Words>
  <Characters>1829</Characters>
  <Lines>0</Lines>
  <Paragraphs>0</Paragraphs>
  <TotalTime>1</TotalTime>
  <ScaleCrop>false</ScaleCrop>
  <LinksUpToDate>false</LinksUpToDate>
  <CharactersWithSpaces>1834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2025-11-03T09:01:00Z</dcterms:created>
  <dc:creator>胡正</dc:creator>
  <cp:lastModifiedBy>匆匆</cp:lastModifiedBy>
  <dcterms:modified xsi:type="dcterms:W3CDTF">2025-11-04T09:15:54Z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D488568E12024DF99FCD2A5CDD1BC3DB_13</vt:lpwstr>
  </property>
  <property fmtid="{D5CDD505-2E9C-101B-9397-08002B2CF9AE}" pid="4" name="KSOTemplateDocerSaveRecord">
    <vt:lpwstr>eyJoZGlkIjoiZjA0NTc3MmUwZWY3OTBjZWEwNTY1NzFlZWQ5OThmYWEiLCJ1c2VySWQiOiI2MTM2MTM5MjAifQ==</vt:lpwstr>
  </property>
</Properties>
</file>